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E7" w:rsidRPr="00607E32" w:rsidRDefault="000011C6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Model aparatury/produktu, produkt</w:t>
      </w:r>
      <w:r w:rsidR="00607E32">
        <w:rPr>
          <w:rFonts w:asciiTheme="minorHAnsi" w:hAnsiTheme="minorHAnsi" w:cs="Arial"/>
        </w:rPr>
        <w:t>:</w:t>
      </w:r>
      <w:r w:rsidR="00C206E7" w:rsidRPr="00607E32">
        <w:rPr>
          <w:rFonts w:asciiTheme="minorHAnsi" w:hAnsiTheme="minorHAnsi" w:cs="Arial"/>
        </w:rPr>
        <w:tab/>
      </w:r>
      <w:r w:rsidRPr="000011C6">
        <w:rPr>
          <w:rFonts w:asciiTheme="minorHAnsi" w:hAnsiTheme="minorHAnsi" w:cs="Arial"/>
          <w:b/>
        </w:rPr>
        <w:t>Stacja pogodowa z radiowy</w:t>
      </w:r>
      <w:r>
        <w:rPr>
          <w:rFonts w:asciiTheme="minorHAnsi" w:hAnsiTheme="minorHAnsi" w:cs="Arial"/>
          <w:b/>
        </w:rPr>
        <w:t>m czujnikiem zewnętrznym SP-</w:t>
      </w:r>
      <w:r w:rsidR="00232F45">
        <w:rPr>
          <w:rFonts w:asciiTheme="minorHAnsi" w:hAnsiTheme="minorHAnsi" w:cs="Arial"/>
          <w:b/>
        </w:rPr>
        <w:t>62</w:t>
      </w:r>
      <w:r w:rsidR="00C731CA">
        <w:rPr>
          <w:rFonts w:asciiTheme="minorHAnsi" w:hAnsiTheme="minorHAnsi" w:cs="Arial"/>
          <w:b/>
        </w:rPr>
        <w:t xml:space="preserve"> S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  <w:b/>
        </w:rPr>
        <w:br/>
      </w:r>
      <w:r w:rsidRPr="000011C6">
        <w:rPr>
          <w:rFonts w:asciiTheme="minorHAnsi" w:hAnsiTheme="minorHAnsi" w:cs="Arial"/>
          <w:b/>
        </w:rPr>
        <w:t xml:space="preserve">typ: </w:t>
      </w:r>
      <w:r w:rsidR="00232F45">
        <w:rPr>
          <w:rFonts w:asciiTheme="minorHAnsi" w:hAnsiTheme="minorHAnsi" w:cs="Arial"/>
          <w:b/>
        </w:rPr>
        <w:t>RS8738</w:t>
      </w:r>
      <w:r w:rsidR="006261B1">
        <w:rPr>
          <w:rFonts w:asciiTheme="minorHAnsi" w:hAnsiTheme="minorHAnsi" w:cs="Arial"/>
          <w:b/>
        </w:rPr>
        <w:t xml:space="preserve"> </w:t>
      </w:r>
    </w:p>
    <w:p w:rsidR="000B60B2" w:rsidRPr="006261B1" w:rsidRDefault="00C206E7" w:rsidP="00C206E7">
      <w:pPr>
        <w:pStyle w:val="Bezodstpw"/>
        <w:spacing w:before="240"/>
        <w:ind w:left="284"/>
        <w:rPr>
          <w:rFonts w:asciiTheme="minorHAnsi" w:hAnsiTheme="minorHAnsi" w:cs="Arial"/>
          <w:b/>
        </w:rPr>
      </w:pPr>
      <w:r w:rsidRPr="006261B1">
        <w:rPr>
          <w:rFonts w:asciiTheme="minorHAnsi" w:hAnsiTheme="minorHAnsi" w:cs="Arial"/>
        </w:rPr>
        <w:t>Producent</w:t>
      </w:r>
      <w:r w:rsidR="000B60B2" w:rsidRPr="006261B1">
        <w:rPr>
          <w:rFonts w:asciiTheme="minorHAnsi" w:hAnsiTheme="minorHAnsi" w:cs="Arial"/>
        </w:rPr>
        <w:t>:</w:t>
      </w:r>
      <w:r w:rsidR="000B60B2" w:rsidRPr="006261B1">
        <w:rPr>
          <w:rFonts w:asciiTheme="minorHAnsi" w:hAnsiTheme="minorHAnsi" w:cs="Arial"/>
        </w:rPr>
        <w:tab/>
      </w:r>
      <w:r w:rsidR="000B60B2" w:rsidRPr="006261B1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PHU Metrex – Marek Chuchracki</w:t>
      </w:r>
    </w:p>
    <w:p w:rsidR="00821486" w:rsidRPr="00607E32" w:rsidRDefault="00FE6099" w:rsidP="00300DAD">
      <w:pPr>
        <w:pStyle w:val="Bezodstpw"/>
        <w:spacing w:after="240"/>
        <w:ind w:left="284"/>
        <w:rPr>
          <w:rFonts w:asciiTheme="minorHAnsi" w:hAnsiTheme="minorHAnsi" w:cs="Arial"/>
          <w:b/>
        </w:rPr>
      </w:pPr>
      <w:r w:rsidRPr="00607E32">
        <w:rPr>
          <w:rFonts w:asciiTheme="minorHAnsi" w:hAnsiTheme="minorHAnsi" w:cs="Arial"/>
        </w:rPr>
        <w:t>Adres:</w:t>
      </w:r>
      <w:r w:rsidRPr="00607E32">
        <w:rPr>
          <w:rFonts w:asciiTheme="minorHAnsi" w:hAnsiTheme="minorHAnsi" w:cs="Arial"/>
        </w:rPr>
        <w:tab/>
      </w:r>
      <w:r w:rsidRPr="00607E32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ul. Ks. Wujka 9-11, 61-581 Poznań</w:t>
      </w:r>
    </w:p>
    <w:p w:rsidR="00C206E7" w:rsidRDefault="00C206E7" w:rsidP="00300DAD">
      <w:pPr>
        <w:pStyle w:val="Bezodstpw"/>
        <w:spacing w:after="240"/>
        <w:ind w:left="284"/>
        <w:jc w:val="both"/>
        <w:rPr>
          <w:noProof/>
          <w:lang w:eastAsia="pl-PL"/>
        </w:rPr>
      </w:pPr>
      <w:r w:rsidRPr="005F504B">
        <w:rPr>
          <w:rFonts w:ascii="Calibri" w:hAnsi="Calibri" w:cs="Arial"/>
          <w:b/>
          <w:sz w:val="28"/>
          <w:szCs w:val="28"/>
        </w:rPr>
        <w:t>Niniejsza deklaracja zgodności wydana zostaje na wyłączną odpowiedzialność producenta</w:t>
      </w:r>
      <w:r w:rsidR="000011C6">
        <w:rPr>
          <w:rFonts w:ascii="Calibri" w:hAnsi="Calibri" w:cs="Arial"/>
          <w:b/>
          <w:sz w:val="28"/>
          <w:szCs w:val="28"/>
        </w:rPr>
        <w:t xml:space="preserve"> (lub instalatora)</w:t>
      </w:r>
      <w:r w:rsidRPr="005F504B">
        <w:rPr>
          <w:rFonts w:ascii="Calibri" w:hAnsi="Calibri" w:cs="Arial"/>
          <w:b/>
          <w:sz w:val="28"/>
          <w:szCs w:val="28"/>
        </w:rPr>
        <w:t>.</w:t>
      </w:r>
      <w:r w:rsidR="000341BF" w:rsidRPr="000341BF">
        <w:rPr>
          <w:noProof/>
          <w:lang w:eastAsia="pl-PL"/>
        </w:rPr>
        <w:t xml:space="preserve"> </w:t>
      </w:r>
    </w:p>
    <w:p w:rsidR="00C731CA" w:rsidRDefault="000011C6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 w:rsidRPr="001741CC">
        <w:rPr>
          <w:rFonts w:ascii="Calibri" w:hAnsi="Calibri" w:cs="Arial"/>
        </w:rPr>
        <w:t>Przedmiot deklaracji:</w:t>
      </w:r>
    </w:p>
    <w:p w:rsidR="00AD035F" w:rsidRDefault="00232F45" w:rsidP="00C731CA">
      <w:pPr>
        <w:pStyle w:val="Bezodstpw"/>
        <w:spacing w:after="60"/>
        <w:ind w:left="284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879713" cy="14097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62.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97" cy="141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C6" w:rsidRPr="001741CC" w:rsidRDefault="00AD035F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</w:t>
      </w:r>
    </w:p>
    <w:p w:rsidR="00300DAD" w:rsidRPr="005F504B" w:rsidRDefault="00300DAD" w:rsidP="00F21017">
      <w:pPr>
        <w:pStyle w:val="Bezodstpw"/>
        <w:spacing w:after="240"/>
        <w:ind w:left="284"/>
        <w:jc w:val="center"/>
        <w:rPr>
          <w:rFonts w:ascii="Calibri" w:hAnsi="Calibri" w:cs="Arial"/>
          <w:b/>
          <w:sz w:val="28"/>
          <w:szCs w:val="28"/>
        </w:rPr>
      </w:pPr>
    </w:p>
    <w:p w:rsidR="00527B54" w:rsidRPr="00607E32" w:rsidRDefault="00527B54" w:rsidP="00C034B2">
      <w:pPr>
        <w:spacing w:before="120" w:after="120"/>
        <w:ind w:left="284"/>
        <w:rPr>
          <w:rFonts w:asciiTheme="minorHAnsi" w:hAnsiTheme="minorHAnsi" w:cs="Arial"/>
        </w:rPr>
      </w:pPr>
      <w:r w:rsidRPr="00607E32">
        <w:rPr>
          <w:rFonts w:asciiTheme="minorHAnsi" w:hAnsiTheme="minorHAnsi" w:cs="Arial"/>
        </w:rPr>
        <w:t>Wymieniony powyżej przedmiot nini</w:t>
      </w:r>
      <w:r w:rsidR="00F9126C">
        <w:rPr>
          <w:rFonts w:asciiTheme="minorHAnsi" w:hAnsiTheme="minorHAnsi" w:cs="Arial"/>
        </w:rPr>
        <w:t>ejszej deklaracji jest zgodny z</w:t>
      </w:r>
      <w:r w:rsidR="001741CC">
        <w:rPr>
          <w:rFonts w:asciiTheme="minorHAnsi" w:hAnsiTheme="minorHAnsi" w:cs="Arial"/>
        </w:rPr>
        <w:t xml:space="preserve"> </w:t>
      </w:r>
      <w:r w:rsidRPr="00607E32">
        <w:rPr>
          <w:rFonts w:asciiTheme="minorHAnsi" w:hAnsiTheme="minorHAnsi" w:cs="Arial"/>
        </w:rPr>
        <w:t xml:space="preserve">odnośnymi wymaganiami unijnego prawodawstwa </w:t>
      </w:r>
      <w:proofErr w:type="spellStart"/>
      <w:r w:rsidRPr="00607E32">
        <w:rPr>
          <w:rFonts w:asciiTheme="minorHAnsi" w:hAnsiTheme="minorHAnsi" w:cs="Arial"/>
        </w:rPr>
        <w:t>harmonizacyjnego</w:t>
      </w:r>
      <w:proofErr w:type="spellEnd"/>
      <w:r w:rsidRPr="00607E32">
        <w:rPr>
          <w:rFonts w:asciiTheme="minorHAnsi" w:hAnsiTheme="minorHAnsi" w:cs="Arial"/>
        </w:rPr>
        <w:t>:</w:t>
      </w:r>
    </w:p>
    <w:p w:rsidR="00597BAC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2014/35/UE z dnia 26 lutego 2</w:t>
      </w:r>
      <w:r>
        <w:rPr>
          <w:rFonts w:asciiTheme="minorHAnsi" w:hAnsiTheme="minorHAnsi" w:cs="Arial"/>
          <w:b/>
          <w:sz w:val="28"/>
          <w:szCs w:val="28"/>
        </w:rPr>
        <w:t>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udostępniania na rynku sprzętu elektrycznego przewidzianego do stosowania w określonych granicach napięcia (Dz.U. L 96 z 29.3.2014, str. 357—374)</w:t>
      </w:r>
    </w:p>
    <w:p w:rsidR="00527B54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2011/6</w:t>
      </w:r>
      <w:r>
        <w:rPr>
          <w:rFonts w:asciiTheme="minorHAnsi" w:hAnsiTheme="minorHAnsi" w:cs="Arial"/>
          <w:b/>
          <w:sz w:val="28"/>
          <w:szCs w:val="28"/>
        </w:rPr>
        <w:t>5/UE z dnia 8 czerwca 2011 r. w </w:t>
      </w:r>
      <w:r w:rsidRPr="00C034B2">
        <w:rPr>
          <w:rFonts w:asciiTheme="minorHAnsi" w:hAnsiTheme="minorHAnsi" w:cs="Arial"/>
          <w:b/>
          <w:sz w:val="28"/>
          <w:szCs w:val="28"/>
        </w:rPr>
        <w:t>sprawie ograniczenia stosowania niektórych niebezpiecznych substancji w sprzęcie elektrycznym i elektronicznym (Dz.U. L 174 z 1.7.2011, str. 88—110)</w:t>
      </w:r>
    </w:p>
    <w:p w:rsidR="00C034B2" w:rsidRPr="00C034B2" w:rsidRDefault="00C034B2" w:rsidP="00C034B2">
      <w:pPr>
        <w:pStyle w:val="Akapitzlist"/>
        <w:numPr>
          <w:ilvl w:val="0"/>
          <w:numId w:val="8"/>
        </w:numPr>
        <w:spacing w:after="60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2014/53/UE</w:t>
      </w:r>
      <w:r>
        <w:rPr>
          <w:rFonts w:asciiTheme="minorHAnsi" w:hAnsiTheme="minorHAnsi" w:cs="Arial"/>
          <w:b/>
          <w:sz w:val="28"/>
          <w:szCs w:val="28"/>
        </w:rPr>
        <w:t xml:space="preserve"> z dnia 16 kwietnia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dotyczących udostępniania na rynku urządzeń radiowych i uchylająca dyrektywę 1999/5/WE</w:t>
      </w: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527B54" w:rsidRPr="00607E32" w:rsidRDefault="000011C6" w:rsidP="00527B54">
      <w:pPr>
        <w:spacing w:before="240" w:after="240"/>
        <w:ind w:left="284"/>
        <w:rPr>
          <w:rFonts w:asciiTheme="minorHAnsi" w:hAnsiTheme="minorHAnsi" w:cs="Arial"/>
        </w:rPr>
      </w:pPr>
      <w:r w:rsidRPr="000011C6">
        <w:rPr>
          <w:rFonts w:asciiTheme="minorHAnsi" w:hAnsiTheme="minorHAnsi" w:cs="Arial"/>
        </w:rPr>
        <w:t>Odwołania do odnośnych norm zharmonizowanych,</w:t>
      </w:r>
      <w:r w:rsidR="00F83FCD">
        <w:rPr>
          <w:rFonts w:asciiTheme="minorHAnsi" w:hAnsiTheme="minorHAnsi" w:cs="Arial"/>
        </w:rPr>
        <w:t xml:space="preserve"> które zastosowano, wraz z datą/</w:t>
      </w:r>
      <w:r w:rsidR="003067B5">
        <w:rPr>
          <w:rFonts w:asciiTheme="minorHAnsi" w:hAnsiTheme="minorHAnsi" w:cs="Arial"/>
        </w:rPr>
        <w:t xml:space="preserve">wersją </w:t>
      </w:r>
      <w:r w:rsidRPr="000011C6">
        <w:rPr>
          <w:rFonts w:asciiTheme="minorHAnsi" w:hAnsiTheme="minorHAnsi" w:cs="Arial"/>
        </w:rPr>
        <w:t>normy, lub do innych specyfikacji technicznych, wraz z datą specyfikacji, w odniesieniu do których deklarowana jest zgodność: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55"/>
        <w:gridCol w:w="8057"/>
      </w:tblGrid>
      <w:tr w:rsidR="00607E32" w:rsidTr="00F83FCD">
        <w:tc>
          <w:tcPr>
            <w:tcW w:w="2801" w:type="dxa"/>
            <w:vAlign w:val="center"/>
          </w:tcPr>
          <w:p w:rsidR="00C91100" w:rsidRPr="00C91100" w:rsidRDefault="00F83FCD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lastRenderedPageBreak/>
              <w:t>EN 60950-1:2006, +A11:2009, +A12:2011, +A1:2010, +A2:2013, +AC:2011</w:t>
            </w:r>
          </w:p>
        </w:tc>
        <w:tc>
          <w:tcPr>
            <w:tcW w:w="8237" w:type="dxa"/>
            <w:vAlign w:val="center"/>
          </w:tcPr>
          <w:p w:rsidR="00C91100" w:rsidRPr="00C91100" w:rsidRDefault="00F83FCD" w:rsidP="00F83F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Urządzenia techniki informatycznej – Bezpieczeństwo – Część 1: Wymagania podstawowe</w:t>
            </w:r>
          </w:p>
        </w:tc>
      </w:tr>
      <w:tr w:rsidR="00607E32" w:rsidTr="00607E32">
        <w:tc>
          <w:tcPr>
            <w:tcW w:w="2801" w:type="dxa"/>
            <w:vAlign w:val="center"/>
          </w:tcPr>
          <w:p w:rsidR="00C91100" w:rsidRPr="00C91100" w:rsidRDefault="00BA5EFE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55022:2010, +AC:2011</w:t>
            </w:r>
          </w:p>
        </w:tc>
        <w:tc>
          <w:tcPr>
            <w:tcW w:w="8237" w:type="dxa"/>
            <w:vAlign w:val="center"/>
          </w:tcPr>
          <w:p w:rsidR="00C91100" w:rsidRPr="00C91100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Urządzenia informatyczne – Charakterystyki zaburzeń radioelektrycznych – Poziomy dopuszczalne i metody pomiaru</w:t>
            </w:r>
          </w:p>
        </w:tc>
      </w:tr>
      <w:tr w:rsidR="00913275" w:rsidTr="00607E32">
        <w:tc>
          <w:tcPr>
            <w:tcW w:w="2801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61000-3-2:2014</w:t>
            </w:r>
          </w:p>
        </w:tc>
        <w:tc>
          <w:tcPr>
            <w:tcW w:w="8237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3-2: Poziomy dopuszczalne – Poziomy dopuszczalne emisji harmonicznych prądu (fazowy prąd zasilający odbiornika &lt; lub = 16 A).</w:t>
            </w:r>
          </w:p>
        </w:tc>
      </w:tr>
      <w:tr w:rsidR="00913275" w:rsidTr="00607E32">
        <w:tc>
          <w:tcPr>
            <w:tcW w:w="2801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61000-3-3:2013</w:t>
            </w:r>
          </w:p>
        </w:tc>
        <w:tc>
          <w:tcPr>
            <w:tcW w:w="8237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3-3: Poziomy dopuszczalne – Ograniczanie zmian napięcia, wahań napięcia i migotania światła w publicznych sieciach zasilających niskiego napięcia, powodowanych przez odbiorniki o fazowym prądzie znamionowym &lt; lub = 16 A przyłączone bezwarunkowo</w:t>
            </w:r>
          </w:p>
        </w:tc>
      </w:tr>
      <w:tr w:rsidR="00C27CFC" w:rsidTr="00607E32">
        <w:tc>
          <w:tcPr>
            <w:tcW w:w="2801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EN 55024:2010</w:t>
            </w:r>
          </w:p>
        </w:tc>
        <w:tc>
          <w:tcPr>
            <w:tcW w:w="8237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Kompatybilność elektromagnetyczna (EMC) – Urządzenia informatyczne – Charakterystyki odporności – Poziomy dopuszczalne i metody pomiaru</w:t>
            </w:r>
          </w:p>
        </w:tc>
      </w:tr>
      <w:tr w:rsidR="00F05F03" w:rsidTr="00607E32">
        <w:tc>
          <w:tcPr>
            <w:tcW w:w="2801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62479:2010</w:t>
            </w:r>
          </w:p>
        </w:tc>
        <w:tc>
          <w:tcPr>
            <w:tcW w:w="8237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Ocena zgodności elektronicznych i elektrycznych urządzeń małej mocy z ograniczeniami podstawowymi dotyczącymi ekspozycji ludności w polach elektromagnetycznych (10 MHz - 300 GHz)</w:t>
            </w:r>
          </w:p>
        </w:tc>
      </w:tr>
      <w:tr w:rsidR="00F05F03" w:rsidTr="00607E32">
        <w:tc>
          <w:tcPr>
            <w:tcW w:w="2801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301 489-1 V1.9.2</w:t>
            </w:r>
          </w:p>
        </w:tc>
        <w:tc>
          <w:tcPr>
            <w:tcW w:w="8237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i służb radiowych – Część 1: Wspólne wymagania techniczne</w:t>
            </w:r>
          </w:p>
        </w:tc>
      </w:tr>
      <w:tr w:rsidR="009F5C89" w:rsidTr="00607E32">
        <w:tc>
          <w:tcPr>
            <w:tcW w:w="2801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EN 301 489-3 V1.6.1</w:t>
            </w:r>
          </w:p>
        </w:tc>
        <w:tc>
          <w:tcPr>
            <w:tcW w:w="8237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- Norma kompatybilności elektromagnetycznej (EMC) dotycząca urządzeń i systemów radiowych Część 3: Wymagania szczegółowe dla urządzeń bliskiego zasięgu (SRD) pracujących na częstotliwościach pomiędzy 9 kHz i 246 GHz</w:t>
            </w:r>
          </w:p>
        </w:tc>
      </w:tr>
      <w:tr w:rsidR="006E58AA" w:rsidTr="00607E32">
        <w:tc>
          <w:tcPr>
            <w:tcW w:w="2801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EN 301 489-17 V2.2.1</w:t>
            </w:r>
          </w:p>
        </w:tc>
        <w:tc>
          <w:tcPr>
            <w:tcW w:w="8237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radiowych – Część 17: Wymagania szczegółowe dla szerokopasmowych systemów transmisji danych</w:t>
            </w:r>
          </w:p>
        </w:tc>
      </w:tr>
      <w:tr w:rsidR="00F05F03" w:rsidTr="00607E32">
        <w:tc>
          <w:tcPr>
            <w:tcW w:w="2801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V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.1</w:t>
            </w:r>
          </w:p>
        </w:tc>
        <w:tc>
          <w:tcPr>
            <w:tcW w:w="8237" w:type="dxa"/>
            <w:vAlign w:val="center"/>
          </w:tcPr>
          <w:p w:rsidR="00F05F03" w:rsidRPr="008B74FB" w:rsidRDefault="008B74FB" w:rsidP="00913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1: Parametry techniczne i metody pomiarów</w:t>
            </w:r>
          </w:p>
        </w:tc>
      </w:tr>
      <w:tr w:rsidR="003F446D" w:rsidTr="00607E32">
        <w:tc>
          <w:tcPr>
            <w:tcW w:w="2801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300 220-1 V2.4.1</w:t>
            </w:r>
          </w:p>
        </w:tc>
        <w:tc>
          <w:tcPr>
            <w:tcW w:w="8237" w:type="dxa"/>
            <w:vAlign w:val="center"/>
          </w:tcPr>
          <w:p w:rsidR="008B74FB" w:rsidRPr="008B74FB" w:rsidRDefault="008B74FB" w:rsidP="008B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2: Zharmonizowana norma zapewniająca spełnienie zasadniczych wymagań zgodnie z artykułem 3.2 dyrektywy 2014/53/UE przez niespecyficzne urządzenia radiowe</w:t>
            </w:r>
          </w:p>
          <w:p w:rsidR="003F446D" w:rsidRPr="008B74FB" w:rsidRDefault="003F446D" w:rsidP="003F4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93" w:rsidRPr="005F504B" w:rsidRDefault="005F504B" w:rsidP="005F504B">
      <w:pPr>
        <w:pStyle w:val="Bezodstpw"/>
        <w:spacing w:before="240"/>
        <w:ind w:left="284"/>
        <w:rPr>
          <w:rFonts w:asciiTheme="minorHAnsi" w:hAnsiTheme="minorHAnsi" w:cs="Arial"/>
        </w:rPr>
      </w:pPr>
      <w:r w:rsidRPr="005F504B">
        <w:rPr>
          <w:rFonts w:asciiTheme="minorHAnsi" w:hAnsiTheme="minorHAnsi" w:cs="Arial"/>
        </w:rPr>
        <w:t>Informacje dodatkowe</w:t>
      </w:r>
      <w:r>
        <w:rPr>
          <w:rFonts w:asciiTheme="minorHAnsi" w:hAnsiTheme="minorHAnsi" w:cs="Arial"/>
        </w:rPr>
        <w:t xml:space="preserve">: </w:t>
      </w:r>
      <w:r w:rsidR="00F21017" w:rsidRPr="00F21017">
        <w:rPr>
          <w:rFonts w:asciiTheme="minorHAnsi" w:hAnsiTheme="minorHAnsi" w:cs="Arial"/>
        </w:rPr>
        <w:t>brak</w:t>
      </w:r>
    </w:p>
    <w:p w:rsidR="004C62B3" w:rsidRDefault="004C62B3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Pr="00D72A2C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E21407" w:rsidRPr="008D468B" w:rsidRDefault="00F21017" w:rsidP="008D468B">
      <w:pPr>
        <w:spacing w:line="216" w:lineRule="auto"/>
        <w:ind w:left="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Poznań, 0</w:t>
      </w:r>
      <w:r w:rsidR="009123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232F4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8B74FB">
        <w:rPr>
          <w:rFonts w:ascii="Arial" w:hAnsi="Arial" w:cs="Arial"/>
          <w:sz w:val="20"/>
          <w:szCs w:val="20"/>
        </w:rPr>
        <w:t>18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</w:t>
      </w:r>
      <w:r w:rsidR="00E21407" w:rsidRPr="00D72A2C">
        <w:rPr>
          <w:rFonts w:ascii="Arial" w:hAnsi="Arial" w:cs="Arial"/>
          <w:sz w:val="20"/>
          <w:szCs w:val="20"/>
        </w:rPr>
        <w:tab/>
      </w:r>
      <w:r w:rsidR="00962770" w:rsidRPr="00D72A2C">
        <w:rPr>
          <w:rFonts w:ascii="Arial" w:hAnsi="Arial" w:cs="Arial"/>
          <w:sz w:val="20"/>
          <w:szCs w:val="20"/>
        </w:rPr>
        <w:t>podpis</w:t>
      </w:r>
      <w:r w:rsidR="009F5F9E" w:rsidRPr="00D72A2C">
        <w:rPr>
          <w:rFonts w:ascii="Arial" w:hAnsi="Arial" w:cs="Arial"/>
          <w:sz w:val="20"/>
          <w:szCs w:val="20"/>
        </w:rPr>
        <w:t xml:space="preserve"> 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Marek Chuchracki</w:t>
      </w:r>
      <w:r w:rsidR="00E21407" w:rsidRPr="00D72A2C">
        <w:rPr>
          <w:rFonts w:ascii="Arial" w:hAnsi="Arial" w:cs="Arial"/>
          <w:sz w:val="20"/>
          <w:szCs w:val="20"/>
        </w:rPr>
        <w:br/>
      </w:r>
    </w:p>
    <w:sectPr w:rsidR="00E21407" w:rsidRPr="008D468B" w:rsidSect="00523464">
      <w:headerReference w:type="default" r:id="rId9"/>
      <w:footerReference w:type="default" r:id="rId10"/>
      <w:pgSz w:w="12240" w:h="15840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FE" w:rsidRDefault="00E849FE">
      <w:r>
        <w:separator/>
      </w:r>
    </w:p>
  </w:endnote>
  <w:endnote w:type="continuationSeparator" w:id="0">
    <w:p w:rsidR="00E849FE" w:rsidRDefault="00E8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3E" w:rsidRDefault="00A3053E" w:rsidP="00FD1D06">
    <w:pPr>
      <w:pStyle w:val="Stopka"/>
      <w:jc w:val="right"/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FE" w:rsidRDefault="00E849FE">
      <w:r>
        <w:separator/>
      </w:r>
    </w:p>
  </w:footnote>
  <w:footnote w:type="continuationSeparator" w:id="0">
    <w:p w:rsidR="00E849FE" w:rsidRDefault="00E8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2" w:rsidRDefault="006261B1" w:rsidP="00F96262">
    <w:pPr>
      <w:pStyle w:val="Nagwek"/>
      <w:ind w:left="1440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5F5650C" wp14:editId="32323329">
          <wp:simplePos x="0" y="0"/>
          <wp:positionH relativeFrom="column">
            <wp:posOffset>4592955</wp:posOffset>
          </wp:positionH>
          <wp:positionV relativeFrom="paragraph">
            <wp:posOffset>78105</wp:posOffset>
          </wp:positionV>
          <wp:extent cx="2473325" cy="539750"/>
          <wp:effectExtent l="0" t="0" r="3175" b="0"/>
          <wp:wrapNone/>
          <wp:docPr id="1" name="Obraz 1" descr="C:\_E\CiOZ\Klienci\2016\Metrex - Poznań\04 Dokumentacja\Odkurzacz EMA\02 Dokumentacja CertPartner\Deklaracja zgodności\logo_metr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E\CiOZ\Klienci\2016\Metrex - Poznań\04 Dokumentacja\Odkurzacz EMA\02 Dokumentacja CertPartner\Deklaracja zgodności\logo_metr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3E" w:rsidRPr="00732CDE">
      <w:rPr>
        <w:rFonts w:ascii="Arial" w:hAnsi="Arial" w:cs="Arial"/>
        <w:b/>
        <w:sz w:val="44"/>
        <w:szCs w:val="44"/>
      </w:rPr>
      <w:t>Dekl</w:t>
    </w:r>
    <w:r w:rsidR="00FE6099">
      <w:rPr>
        <w:rFonts w:ascii="Arial" w:hAnsi="Arial" w:cs="Arial"/>
        <w:b/>
        <w:sz w:val="44"/>
        <w:szCs w:val="44"/>
      </w:rPr>
      <w:t>aracja zgodności U</w:t>
    </w:r>
    <w:r w:rsidR="00A3053E" w:rsidRPr="00732CDE">
      <w:rPr>
        <w:rFonts w:ascii="Arial" w:hAnsi="Arial" w:cs="Arial"/>
        <w:b/>
        <w:sz w:val="44"/>
        <w:szCs w:val="44"/>
      </w:rPr>
      <w:t>E</w:t>
    </w:r>
    <w:r w:rsidR="00385D5F">
      <w:rPr>
        <w:rFonts w:ascii="Arial" w:hAnsi="Arial" w:cs="Arial"/>
        <w:b/>
        <w:sz w:val="36"/>
        <w:szCs w:val="36"/>
      </w:rPr>
      <w:br/>
    </w:r>
  </w:p>
  <w:p w:rsidR="00A3053E" w:rsidRDefault="00F96262" w:rsidP="00F96262">
    <w:pPr>
      <w:pStyle w:val="Nagwek"/>
      <w:tabs>
        <w:tab w:val="clear" w:pos="4703"/>
        <w:tab w:val="center" w:pos="3828"/>
      </w:tabs>
      <w:spacing w:after="240"/>
      <w:ind w:left="144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3053E" w:rsidRPr="000011C6">
      <w:rPr>
        <w:rFonts w:ascii="Arial" w:hAnsi="Arial" w:cs="Arial"/>
        <w:b/>
      </w:rPr>
      <w:t xml:space="preserve">Nr </w:t>
    </w:r>
    <w:r w:rsidR="00F21017">
      <w:rPr>
        <w:rFonts w:ascii="Arial" w:hAnsi="Arial" w:cs="Arial"/>
        <w:b/>
      </w:rPr>
      <w:t>SP</w:t>
    </w:r>
    <w:r w:rsidR="00232F45">
      <w:rPr>
        <w:rFonts w:ascii="Arial" w:hAnsi="Arial" w:cs="Arial"/>
        <w:b/>
      </w:rPr>
      <w:t>-</w:t>
    </w:r>
    <w:r w:rsidR="00F21017">
      <w:rPr>
        <w:rFonts w:ascii="Arial" w:hAnsi="Arial" w:cs="Arial"/>
        <w:b/>
      </w:rPr>
      <w:t>6</w:t>
    </w:r>
    <w:r w:rsidR="00B4696B">
      <w:rPr>
        <w:rFonts w:ascii="Arial" w:hAnsi="Arial" w:cs="Arial"/>
        <w:b/>
      </w:rPr>
      <w:t>2</w:t>
    </w:r>
    <w:r w:rsidR="0091231C">
      <w:rPr>
        <w:rFonts w:ascii="Arial" w:hAnsi="Arial" w:cs="Arial"/>
        <w:b/>
      </w:rPr>
      <w:t xml:space="preserve"> S </w:t>
    </w:r>
    <w:r w:rsidR="00F21017">
      <w:rPr>
        <w:rFonts w:ascii="Arial" w:hAnsi="Arial" w:cs="Arial"/>
        <w:b/>
      </w:rPr>
      <w:t>/201</w:t>
    </w:r>
    <w:r w:rsidR="008B74FB">
      <w:rPr>
        <w:rFonts w:ascii="Arial" w:hAnsi="Arial" w:cs="Arial"/>
        <w:b/>
      </w:rPr>
      <w:t>8</w:t>
    </w:r>
    <w:r w:rsidR="00F21017">
      <w:rPr>
        <w:rFonts w:ascii="Arial" w:hAnsi="Arial" w:cs="Arial"/>
        <w:b/>
      </w:rPr>
      <w:t>/</w:t>
    </w:r>
    <w:r w:rsidR="00155F09">
      <w:rPr>
        <w:rFonts w:ascii="Arial" w:hAnsi="Arial" w:cs="Arial"/>
        <w:b/>
      </w:rPr>
      <w:t>2</w:t>
    </w:r>
  </w:p>
  <w:p w:rsidR="00A3053E" w:rsidRPr="00CD6165" w:rsidRDefault="00A3053E" w:rsidP="00CD6165">
    <w:pPr>
      <w:pStyle w:val="Nagwek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6C0"/>
    <w:multiLevelType w:val="hybridMultilevel"/>
    <w:tmpl w:val="23C8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3630F"/>
    <w:multiLevelType w:val="hybridMultilevel"/>
    <w:tmpl w:val="FC3AD8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86"/>
    <w:multiLevelType w:val="hybridMultilevel"/>
    <w:tmpl w:val="23A02E78"/>
    <w:lvl w:ilvl="0" w:tplc="8FE023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C1404"/>
    <w:multiLevelType w:val="hybridMultilevel"/>
    <w:tmpl w:val="36F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095"/>
    <w:multiLevelType w:val="hybridMultilevel"/>
    <w:tmpl w:val="C112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7F0"/>
    <w:multiLevelType w:val="hybridMultilevel"/>
    <w:tmpl w:val="541880C4"/>
    <w:lvl w:ilvl="0" w:tplc="0000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611165"/>
    <w:multiLevelType w:val="hybridMultilevel"/>
    <w:tmpl w:val="00B21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C9"/>
    <w:rsid w:val="000011C6"/>
    <w:rsid w:val="000341BF"/>
    <w:rsid w:val="00036CB1"/>
    <w:rsid w:val="00046C88"/>
    <w:rsid w:val="00056D26"/>
    <w:rsid w:val="000801EF"/>
    <w:rsid w:val="00090DF9"/>
    <w:rsid w:val="00096962"/>
    <w:rsid w:val="000B60B2"/>
    <w:rsid w:val="000C656B"/>
    <w:rsid w:val="000C6F3D"/>
    <w:rsid w:val="000D443A"/>
    <w:rsid w:val="000D5C02"/>
    <w:rsid w:val="001045B8"/>
    <w:rsid w:val="00116CBF"/>
    <w:rsid w:val="0012433C"/>
    <w:rsid w:val="001338BE"/>
    <w:rsid w:val="0013639B"/>
    <w:rsid w:val="00136E4B"/>
    <w:rsid w:val="00155F09"/>
    <w:rsid w:val="00165E67"/>
    <w:rsid w:val="0017166A"/>
    <w:rsid w:val="001741CC"/>
    <w:rsid w:val="001744EF"/>
    <w:rsid w:val="001A1E15"/>
    <w:rsid w:val="001E3FF6"/>
    <w:rsid w:val="001E7B63"/>
    <w:rsid w:val="001F6B3D"/>
    <w:rsid w:val="0020050F"/>
    <w:rsid w:val="00201D67"/>
    <w:rsid w:val="0020547E"/>
    <w:rsid w:val="00223D55"/>
    <w:rsid w:val="00232F45"/>
    <w:rsid w:val="00250153"/>
    <w:rsid w:val="00261344"/>
    <w:rsid w:val="00271EE8"/>
    <w:rsid w:val="002822F1"/>
    <w:rsid w:val="0029133C"/>
    <w:rsid w:val="002A1DBE"/>
    <w:rsid w:val="002A1EAF"/>
    <w:rsid w:val="002A6F75"/>
    <w:rsid w:val="002D4F32"/>
    <w:rsid w:val="002E25CE"/>
    <w:rsid w:val="002E3A56"/>
    <w:rsid w:val="002E7935"/>
    <w:rsid w:val="002F3C2C"/>
    <w:rsid w:val="002F6D01"/>
    <w:rsid w:val="00300DAD"/>
    <w:rsid w:val="003067B5"/>
    <w:rsid w:val="0030715B"/>
    <w:rsid w:val="003074C8"/>
    <w:rsid w:val="003110E1"/>
    <w:rsid w:val="003319B2"/>
    <w:rsid w:val="00334D23"/>
    <w:rsid w:val="003370F7"/>
    <w:rsid w:val="00345538"/>
    <w:rsid w:val="0036008C"/>
    <w:rsid w:val="00372C0F"/>
    <w:rsid w:val="00381326"/>
    <w:rsid w:val="00385D5F"/>
    <w:rsid w:val="0039244A"/>
    <w:rsid w:val="003934A6"/>
    <w:rsid w:val="003A46C5"/>
    <w:rsid w:val="003A541F"/>
    <w:rsid w:val="003A65DC"/>
    <w:rsid w:val="003A76D6"/>
    <w:rsid w:val="003D7C50"/>
    <w:rsid w:val="003E0684"/>
    <w:rsid w:val="003E6BC9"/>
    <w:rsid w:val="003F003E"/>
    <w:rsid w:val="003F2C4F"/>
    <w:rsid w:val="003F3D5E"/>
    <w:rsid w:val="003F446D"/>
    <w:rsid w:val="00400A48"/>
    <w:rsid w:val="00405703"/>
    <w:rsid w:val="00410E06"/>
    <w:rsid w:val="0042188D"/>
    <w:rsid w:val="004266B8"/>
    <w:rsid w:val="004301B8"/>
    <w:rsid w:val="00437366"/>
    <w:rsid w:val="004531AE"/>
    <w:rsid w:val="00465BDC"/>
    <w:rsid w:val="004925D1"/>
    <w:rsid w:val="004959FE"/>
    <w:rsid w:val="00497B48"/>
    <w:rsid w:val="004A3E58"/>
    <w:rsid w:val="004A4744"/>
    <w:rsid w:val="004B1F6C"/>
    <w:rsid w:val="004C1594"/>
    <w:rsid w:val="004C2B26"/>
    <w:rsid w:val="004C62B3"/>
    <w:rsid w:val="004D23A6"/>
    <w:rsid w:val="004D5AFC"/>
    <w:rsid w:val="004D7266"/>
    <w:rsid w:val="004F0349"/>
    <w:rsid w:val="004F464A"/>
    <w:rsid w:val="00500F2F"/>
    <w:rsid w:val="005172CF"/>
    <w:rsid w:val="00522F31"/>
    <w:rsid w:val="00523464"/>
    <w:rsid w:val="00527129"/>
    <w:rsid w:val="00527B54"/>
    <w:rsid w:val="005331E1"/>
    <w:rsid w:val="005364F6"/>
    <w:rsid w:val="005469BE"/>
    <w:rsid w:val="00550635"/>
    <w:rsid w:val="00552E32"/>
    <w:rsid w:val="00563D9B"/>
    <w:rsid w:val="00567243"/>
    <w:rsid w:val="00567595"/>
    <w:rsid w:val="0057664A"/>
    <w:rsid w:val="00576EAB"/>
    <w:rsid w:val="00583622"/>
    <w:rsid w:val="00585EF7"/>
    <w:rsid w:val="00592F00"/>
    <w:rsid w:val="00593308"/>
    <w:rsid w:val="005952D8"/>
    <w:rsid w:val="00597BAC"/>
    <w:rsid w:val="005B703C"/>
    <w:rsid w:val="005C3D8D"/>
    <w:rsid w:val="005C5044"/>
    <w:rsid w:val="005C6B61"/>
    <w:rsid w:val="005D36DF"/>
    <w:rsid w:val="005D6E12"/>
    <w:rsid w:val="005D79C9"/>
    <w:rsid w:val="005E33AE"/>
    <w:rsid w:val="005F504B"/>
    <w:rsid w:val="00607E32"/>
    <w:rsid w:val="00612E13"/>
    <w:rsid w:val="006261B1"/>
    <w:rsid w:val="00643256"/>
    <w:rsid w:val="006473D7"/>
    <w:rsid w:val="0065110C"/>
    <w:rsid w:val="006811C6"/>
    <w:rsid w:val="00694A5F"/>
    <w:rsid w:val="00696029"/>
    <w:rsid w:val="0069641D"/>
    <w:rsid w:val="006A082D"/>
    <w:rsid w:val="006A6276"/>
    <w:rsid w:val="006B10EB"/>
    <w:rsid w:val="006C1648"/>
    <w:rsid w:val="006D1BB0"/>
    <w:rsid w:val="006D2880"/>
    <w:rsid w:val="006E5793"/>
    <w:rsid w:val="006E58AA"/>
    <w:rsid w:val="006F5493"/>
    <w:rsid w:val="007163A5"/>
    <w:rsid w:val="00732CDE"/>
    <w:rsid w:val="00757B5A"/>
    <w:rsid w:val="00772DFD"/>
    <w:rsid w:val="00774DBA"/>
    <w:rsid w:val="00777C32"/>
    <w:rsid w:val="00791604"/>
    <w:rsid w:val="00795D77"/>
    <w:rsid w:val="007A31A6"/>
    <w:rsid w:val="007A349E"/>
    <w:rsid w:val="007B2B28"/>
    <w:rsid w:val="007B760B"/>
    <w:rsid w:val="007C2658"/>
    <w:rsid w:val="007C3026"/>
    <w:rsid w:val="007C7E1B"/>
    <w:rsid w:val="007F5758"/>
    <w:rsid w:val="00807441"/>
    <w:rsid w:val="00811589"/>
    <w:rsid w:val="00821486"/>
    <w:rsid w:val="00821E29"/>
    <w:rsid w:val="00840BBB"/>
    <w:rsid w:val="008458D3"/>
    <w:rsid w:val="00852F2F"/>
    <w:rsid w:val="0085691E"/>
    <w:rsid w:val="00857324"/>
    <w:rsid w:val="008639AA"/>
    <w:rsid w:val="00872F1C"/>
    <w:rsid w:val="00873FC0"/>
    <w:rsid w:val="0087697C"/>
    <w:rsid w:val="008A6157"/>
    <w:rsid w:val="008B74FB"/>
    <w:rsid w:val="008C68F1"/>
    <w:rsid w:val="008D468B"/>
    <w:rsid w:val="008E4D6F"/>
    <w:rsid w:val="008E6B78"/>
    <w:rsid w:val="0091231C"/>
    <w:rsid w:val="00913275"/>
    <w:rsid w:val="00930C73"/>
    <w:rsid w:val="00946B9C"/>
    <w:rsid w:val="009559F5"/>
    <w:rsid w:val="00962770"/>
    <w:rsid w:val="00964440"/>
    <w:rsid w:val="009676BB"/>
    <w:rsid w:val="009702CF"/>
    <w:rsid w:val="009811D0"/>
    <w:rsid w:val="00995BBE"/>
    <w:rsid w:val="009A578C"/>
    <w:rsid w:val="009B0024"/>
    <w:rsid w:val="009B3F38"/>
    <w:rsid w:val="009D26DE"/>
    <w:rsid w:val="009D5B1A"/>
    <w:rsid w:val="009D76EC"/>
    <w:rsid w:val="009E26BA"/>
    <w:rsid w:val="009F5C89"/>
    <w:rsid w:val="009F5F9E"/>
    <w:rsid w:val="00A105F8"/>
    <w:rsid w:val="00A17DC0"/>
    <w:rsid w:val="00A23EA6"/>
    <w:rsid w:val="00A3053E"/>
    <w:rsid w:val="00A4261A"/>
    <w:rsid w:val="00A47344"/>
    <w:rsid w:val="00A63EDA"/>
    <w:rsid w:val="00A83891"/>
    <w:rsid w:val="00A84392"/>
    <w:rsid w:val="00AA493E"/>
    <w:rsid w:val="00AC074F"/>
    <w:rsid w:val="00AC65A9"/>
    <w:rsid w:val="00AC74E5"/>
    <w:rsid w:val="00AD035F"/>
    <w:rsid w:val="00AD06CF"/>
    <w:rsid w:val="00AD4932"/>
    <w:rsid w:val="00AE3275"/>
    <w:rsid w:val="00AF3F48"/>
    <w:rsid w:val="00B07D91"/>
    <w:rsid w:val="00B3095D"/>
    <w:rsid w:val="00B3598A"/>
    <w:rsid w:val="00B4696B"/>
    <w:rsid w:val="00B60E25"/>
    <w:rsid w:val="00B77F83"/>
    <w:rsid w:val="00B80F52"/>
    <w:rsid w:val="00BA26CD"/>
    <w:rsid w:val="00BA2999"/>
    <w:rsid w:val="00BA5EFE"/>
    <w:rsid w:val="00BC4A2E"/>
    <w:rsid w:val="00BD28A2"/>
    <w:rsid w:val="00BD377B"/>
    <w:rsid w:val="00BD40B0"/>
    <w:rsid w:val="00BE2E4A"/>
    <w:rsid w:val="00BF707B"/>
    <w:rsid w:val="00C018D4"/>
    <w:rsid w:val="00C034B2"/>
    <w:rsid w:val="00C039E7"/>
    <w:rsid w:val="00C206E7"/>
    <w:rsid w:val="00C211EE"/>
    <w:rsid w:val="00C27CFC"/>
    <w:rsid w:val="00C31DEB"/>
    <w:rsid w:val="00C34046"/>
    <w:rsid w:val="00C44C88"/>
    <w:rsid w:val="00C53670"/>
    <w:rsid w:val="00C731CA"/>
    <w:rsid w:val="00C7512D"/>
    <w:rsid w:val="00C871D5"/>
    <w:rsid w:val="00C906F6"/>
    <w:rsid w:val="00C91013"/>
    <w:rsid w:val="00C91100"/>
    <w:rsid w:val="00C92EB5"/>
    <w:rsid w:val="00C97CEB"/>
    <w:rsid w:val="00CB1049"/>
    <w:rsid w:val="00CB2BB1"/>
    <w:rsid w:val="00CB6F20"/>
    <w:rsid w:val="00CD6165"/>
    <w:rsid w:val="00CE2A9B"/>
    <w:rsid w:val="00CE6528"/>
    <w:rsid w:val="00CE7FED"/>
    <w:rsid w:val="00D028F2"/>
    <w:rsid w:val="00D0360E"/>
    <w:rsid w:val="00D05296"/>
    <w:rsid w:val="00D066D0"/>
    <w:rsid w:val="00D11F41"/>
    <w:rsid w:val="00D23FA6"/>
    <w:rsid w:val="00D27AD2"/>
    <w:rsid w:val="00D353A3"/>
    <w:rsid w:val="00D37645"/>
    <w:rsid w:val="00D446B5"/>
    <w:rsid w:val="00D47D52"/>
    <w:rsid w:val="00D509FF"/>
    <w:rsid w:val="00D72A2C"/>
    <w:rsid w:val="00D7686C"/>
    <w:rsid w:val="00D868B3"/>
    <w:rsid w:val="00DA74A3"/>
    <w:rsid w:val="00DC5136"/>
    <w:rsid w:val="00DD0B00"/>
    <w:rsid w:val="00DD5809"/>
    <w:rsid w:val="00DE7DF6"/>
    <w:rsid w:val="00DF12C2"/>
    <w:rsid w:val="00E1254E"/>
    <w:rsid w:val="00E144F4"/>
    <w:rsid w:val="00E21090"/>
    <w:rsid w:val="00E21407"/>
    <w:rsid w:val="00E322B7"/>
    <w:rsid w:val="00E37EF1"/>
    <w:rsid w:val="00E37FE7"/>
    <w:rsid w:val="00E46852"/>
    <w:rsid w:val="00E542B3"/>
    <w:rsid w:val="00E548B7"/>
    <w:rsid w:val="00E57436"/>
    <w:rsid w:val="00E73CD7"/>
    <w:rsid w:val="00E849FE"/>
    <w:rsid w:val="00E87CED"/>
    <w:rsid w:val="00E93A79"/>
    <w:rsid w:val="00EA1689"/>
    <w:rsid w:val="00EA3A9F"/>
    <w:rsid w:val="00EB0D7A"/>
    <w:rsid w:val="00EB0FE2"/>
    <w:rsid w:val="00EC5994"/>
    <w:rsid w:val="00EF6EB7"/>
    <w:rsid w:val="00F05F03"/>
    <w:rsid w:val="00F063B8"/>
    <w:rsid w:val="00F11690"/>
    <w:rsid w:val="00F21017"/>
    <w:rsid w:val="00F218DB"/>
    <w:rsid w:val="00F241CA"/>
    <w:rsid w:val="00F25E59"/>
    <w:rsid w:val="00F271D5"/>
    <w:rsid w:val="00F53916"/>
    <w:rsid w:val="00F604C0"/>
    <w:rsid w:val="00F663F7"/>
    <w:rsid w:val="00F67D04"/>
    <w:rsid w:val="00F83754"/>
    <w:rsid w:val="00F83FCD"/>
    <w:rsid w:val="00F85518"/>
    <w:rsid w:val="00F9013A"/>
    <w:rsid w:val="00F9126C"/>
    <w:rsid w:val="00F96262"/>
    <w:rsid w:val="00FC232F"/>
    <w:rsid w:val="00FD0B3A"/>
    <w:rsid w:val="00FD1D06"/>
    <w:rsid w:val="00FE4C41"/>
    <w:rsid w:val="00FE609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FC6D3"/>
  <w15:docId w15:val="{097EA1BF-872A-4877-96BE-D6C20A1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character" w:customStyle="1" w:styleId="biggertext">
    <w:name w:val="biggertext"/>
    <w:basedOn w:val="Domylnaczcionkaakapitu"/>
    <w:rsid w:val="00E87CED"/>
  </w:style>
  <w:style w:type="paragraph" w:styleId="Tekstdymka">
    <w:name w:val="Balloon Text"/>
    <w:basedOn w:val="Normalny"/>
    <w:semiHidden/>
    <w:rsid w:val="002501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54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48B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8B7"/>
    <w:rPr>
      <w:b/>
      <w:bCs/>
      <w:lang w:val="pl-PL" w:eastAsia="ar-SA"/>
    </w:rPr>
  </w:style>
  <w:style w:type="paragraph" w:styleId="Bezodstpw">
    <w:name w:val="No Spacing"/>
    <w:uiPriority w:val="1"/>
    <w:qFormat/>
    <w:rsid w:val="001F6B3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6E4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63F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133C"/>
    <w:pPr>
      <w:ind w:left="720"/>
      <w:contextualSpacing/>
    </w:pPr>
  </w:style>
  <w:style w:type="table" w:styleId="Tabela-Siatka">
    <w:name w:val="Table Grid"/>
    <w:basedOn w:val="Standardowy"/>
    <w:rsid w:val="00C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CE47-30BE-48DB-B660-C3C1DE0E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Deklaracja zgodności WE</vt:lpstr>
      <vt:lpstr>Deklaracja zgodności WE</vt:lpstr>
    </vt:vector>
  </TitlesOfParts>
  <Company>Fenomen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WE</dc:title>
  <dc:creator>Maestro</dc:creator>
  <cp:lastModifiedBy>Tomasz Napierała</cp:lastModifiedBy>
  <cp:revision>2</cp:revision>
  <cp:lastPrinted>2019-06-13T10:47:00Z</cp:lastPrinted>
  <dcterms:created xsi:type="dcterms:W3CDTF">2019-06-13T10:48:00Z</dcterms:created>
  <dcterms:modified xsi:type="dcterms:W3CDTF">2019-06-13T10:48:00Z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1ce293d8-f718-44c2-81b4-f0de0abc0fd1</vt:lpwstr>
  </property>
</Properties>
</file>